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B63E" w14:textId="43998CEA" w:rsidR="00F9474D" w:rsidRDefault="008C6CCE">
      <w:pPr>
        <w:spacing w:after="0" w:line="259" w:lineRule="auto"/>
        <w:ind w:left="0" w:firstLine="0"/>
        <w:jc w:val="right"/>
      </w:pPr>
      <w:r>
        <w:t>March 26</w:t>
      </w:r>
      <w:r w:rsidR="00777808">
        <w:t>, 2025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4416A34D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proofErr w:type="gramStart"/>
      <w:r w:rsidR="008C6CCE">
        <w:t>March</w:t>
      </w:r>
      <w:r w:rsidR="00777808">
        <w:t>,</w:t>
      </w:r>
      <w:proofErr w:type="gramEnd"/>
      <w:r w:rsidR="00777808">
        <w:t xml:space="preserve"> 2025</w:t>
      </w:r>
      <w:r w:rsidR="008F0A9A">
        <w:t xml:space="preserve">, </w:t>
      </w:r>
      <w:r>
        <w:t xml:space="preserve">at </w:t>
      </w:r>
      <w:r w:rsidR="00142907">
        <w:t>1</w:t>
      </w:r>
      <w:r w:rsidR="00D64070">
        <w:t>2:00</w:t>
      </w:r>
      <w:r w:rsidR="00142907">
        <w:t xml:space="preserve"> </w:t>
      </w:r>
      <w:r w:rsidR="00D64070">
        <w:t>p</w:t>
      </w:r>
      <w:r w:rsidR="00142907">
        <w:t>.m</w:t>
      </w:r>
      <w:r w:rsidR="00E52E07">
        <w:t xml:space="preserve">.  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47E86DE8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</w:t>
      </w:r>
      <w:proofErr w:type="gramStart"/>
      <w:r>
        <w:t>present</w:t>
      </w:r>
      <w:proofErr w:type="gramEnd"/>
      <w:r>
        <w:t>:</w:t>
      </w:r>
      <w:r w:rsidR="00734A14">
        <w:t xml:space="preserve"> </w:t>
      </w:r>
      <w:r w:rsidR="00DB2EE3">
        <w:t xml:space="preserve">Jeff Kuehl, </w:t>
      </w:r>
      <w:r w:rsidR="0058167C">
        <w:t>Rick Maranell</w:t>
      </w:r>
      <w:r w:rsidR="00DB2EE3">
        <w:t xml:space="preserve">, and </w:t>
      </w:r>
      <w:r w:rsidR="00B3541C">
        <w:t>Josh Rydberg</w:t>
      </w:r>
      <w:r w:rsidR="008E0916">
        <w:t xml:space="preserve">.  </w:t>
      </w:r>
    </w:p>
    <w:p w14:paraId="222227E0" w14:textId="7D4B8548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DB2EE3">
        <w:t>None</w:t>
      </w:r>
    </w:p>
    <w:p w14:paraId="01F1E967" w14:textId="457DA9F3" w:rsidR="00F9474D" w:rsidRDefault="008E0916" w:rsidP="00D83291">
      <w:pPr>
        <w:spacing w:after="26"/>
        <w:ind w:left="-5" w:right="28"/>
      </w:pPr>
      <w:r>
        <w:t>Other</w:t>
      </w:r>
      <w:r w:rsidR="00B3541C">
        <w:t>s</w:t>
      </w:r>
      <w:r w:rsidR="00D83291">
        <w:t xml:space="preserve"> </w:t>
      </w:r>
      <w:proofErr w:type="gramStart"/>
      <w:r w:rsidR="004864ED">
        <w:t>present</w:t>
      </w:r>
      <w:proofErr w:type="gramEnd"/>
      <w:r w:rsidR="004864ED">
        <w:t>:</w:t>
      </w:r>
      <w:r w:rsidR="008822DA">
        <w:t xml:space="preserve"> </w:t>
      </w:r>
      <w:r w:rsidR="0010525C">
        <w:t>Michelle Vos and Jim Zeutenhorst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7DB4C5D3" w:rsidR="00F9474D" w:rsidRDefault="00366388">
      <w:pPr>
        <w:ind w:left="-5" w:right="28"/>
      </w:pPr>
      <w:r>
        <w:t>Motion</w:t>
      </w:r>
      <w:r w:rsidR="0042339E">
        <w:t xml:space="preserve"> </w:t>
      </w:r>
      <w:r w:rsidR="008C6CCE">
        <w:t>Kuehl</w:t>
      </w:r>
      <w:r w:rsidR="005B57B7">
        <w:t xml:space="preserve">, seconded by </w:t>
      </w:r>
      <w:proofErr w:type="gramStart"/>
      <w:r w:rsidR="008C6CCE">
        <w:t>Maranell</w:t>
      </w:r>
      <w:proofErr w:type="gramEnd"/>
      <w:r w:rsidR="00431662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DB2EE3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08230705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8C6CCE">
        <w:t>Maranell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8C6CCE">
        <w:t>Kuehl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8C6CCE">
        <w:t>February 26</w:t>
      </w:r>
      <w:r w:rsidR="00777808">
        <w:t>,</w:t>
      </w:r>
      <w:r w:rsidR="003B170E">
        <w:t xml:space="preserve"> 202</w:t>
      </w:r>
      <w:r w:rsidR="005A1473">
        <w:t>5</w:t>
      </w:r>
      <w:r w:rsidR="00AA08A3">
        <w:t xml:space="preserve">, </w:t>
      </w:r>
    </w:p>
    <w:p w14:paraId="46656568" w14:textId="3631D5E6" w:rsidR="00AA08A3" w:rsidRDefault="00AA08A3" w:rsidP="0010503A">
      <w:pPr>
        <w:ind w:left="0" w:right="28" w:firstLine="0"/>
      </w:pPr>
      <w:r>
        <w:t xml:space="preserve">Board Meeting.  Motion carried </w:t>
      </w:r>
      <w:r w:rsidR="00DB2EE3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E5DEFA3" w:rsidR="00C81ACE" w:rsidRDefault="00AA08A3" w:rsidP="0010503A">
      <w:pPr>
        <w:ind w:left="0" w:right="28" w:firstLine="0"/>
      </w:pPr>
      <w:r>
        <w:t xml:space="preserve">Motion </w:t>
      </w:r>
      <w:r w:rsidR="008C6CCE">
        <w:t>Kuehl</w:t>
      </w:r>
      <w:r w:rsidR="0010525C">
        <w:t xml:space="preserve">, </w:t>
      </w:r>
      <w:r>
        <w:t>seconded by</w:t>
      </w:r>
      <w:r w:rsidR="00D43396">
        <w:t xml:space="preserve"> </w:t>
      </w:r>
      <w:r w:rsidR="008C6CCE">
        <w:t>Maranell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6705776D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DB2EE3">
        <w:t>3</w:t>
      </w:r>
      <w:r w:rsidR="0010525C">
        <w:t>-0</w:t>
      </w:r>
      <w:r>
        <w:t>.</w:t>
      </w:r>
    </w:p>
    <w:p w14:paraId="0EE0A4B2" w14:textId="77777777" w:rsidR="00CC51C8" w:rsidRDefault="00CC51C8" w:rsidP="0010503A">
      <w:pPr>
        <w:ind w:left="0" w:right="28" w:firstLine="0"/>
      </w:pPr>
    </w:p>
    <w:tbl>
      <w:tblPr>
        <w:tblW w:w="10454" w:type="dxa"/>
        <w:tblInd w:w="-684" w:type="dxa"/>
        <w:tblLook w:val="04A0" w:firstRow="1" w:lastRow="0" w:firstColumn="1" w:lastColumn="0" w:noHBand="0" w:noVBand="1"/>
      </w:tblPr>
      <w:tblGrid>
        <w:gridCol w:w="316"/>
        <w:gridCol w:w="2952"/>
        <w:gridCol w:w="5749"/>
        <w:gridCol w:w="1437"/>
      </w:tblGrid>
      <w:tr w:rsidR="008C6CCE" w:rsidRPr="008C6CCE" w14:paraId="2431403C" w14:textId="77777777" w:rsidTr="008C6CCE">
        <w:trPr>
          <w:trHeight w:val="417"/>
        </w:trPr>
        <w:tc>
          <w:tcPr>
            <w:tcW w:w="10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E45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4"/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8C6CCE" w:rsidRPr="008C6CCE" w14:paraId="35BEA756" w14:textId="77777777" w:rsidTr="008C6CCE">
        <w:trPr>
          <w:trHeight w:val="273"/>
        </w:trPr>
        <w:tc>
          <w:tcPr>
            <w:tcW w:w="10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7A0FD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March 26, 2025</w:t>
            </w:r>
          </w:p>
        </w:tc>
      </w:tr>
      <w:tr w:rsidR="008C6CCE" w:rsidRPr="008C6CCE" w14:paraId="2634B71A" w14:textId="77777777" w:rsidTr="008C6CCE">
        <w:trPr>
          <w:trHeight w:val="29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6E3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4B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16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CA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CCE" w:rsidRPr="008C6CCE" w14:paraId="76BA1DE9" w14:textId="77777777" w:rsidTr="008C6CCE">
        <w:trPr>
          <w:trHeight w:val="23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2AC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EF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95D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8D0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8C6CCE" w:rsidRPr="008C6CCE" w14:paraId="28A81C1E" w14:textId="77777777" w:rsidTr="008C6CC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6CF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97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893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8C6CCE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Plant maint., distribution maint., vehicle maint., City Hall expense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E1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$146.60 </w:t>
            </w:r>
          </w:p>
        </w:tc>
      </w:tr>
      <w:tr w:rsidR="008C6CCE" w:rsidRPr="008C6CCE" w14:paraId="2F266DFA" w14:textId="77777777" w:rsidTr="008C6CC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73E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56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CD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City Hall bills split for February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DA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$5,985.66 </w:t>
            </w:r>
          </w:p>
        </w:tc>
      </w:tr>
      <w:tr w:rsidR="008C6CCE" w:rsidRPr="008C6CCE" w14:paraId="007EA5FF" w14:textId="77777777" w:rsidTr="008C6CC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D60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BF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83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Reimb. - 2017 Freightliner Digger Derrick (Custom Truck &amp; Equip)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EC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$94,000.00 </w:t>
            </w:r>
          </w:p>
        </w:tc>
      </w:tr>
      <w:tr w:rsidR="008C6CCE" w:rsidRPr="008C6CCE" w14:paraId="6115FDDA" w14:textId="77777777" w:rsidTr="008C6CC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8F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814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Custom Truck One Source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0E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8C6CCE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Digger Derrick tools - Tamper, Kelly Bar, Anchor, Drive end wrench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5CD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$6,145.50 </w:t>
            </w:r>
          </w:p>
        </w:tc>
      </w:tr>
      <w:tr w:rsidR="008C6CCE" w:rsidRPr="008C6CCE" w14:paraId="55F811DF" w14:textId="77777777" w:rsidTr="008C6CC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8BA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DD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9C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9D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$6,887.86 </w:t>
            </w:r>
          </w:p>
        </w:tc>
      </w:tr>
      <w:tr w:rsidR="008C6CCE" w:rsidRPr="008C6CCE" w14:paraId="7F2F29D6" w14:textId="77777777" w:rsidTr="008C6CC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8B4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E0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IMFOA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BF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Membership renewal - Michelle Vos (4/1/2025-4/1/2026)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F99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$20.00 </w:t>
            </w:r>
          </w:p>
        </w:tc>
      </w:tr>
      <w:tr w:rsidR="008C6CCE" w:rsidRPr="008C6CCE" w14:paraId="30C04B82" w14:textId="77777777" w:rsidTr="008C6CC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D0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04B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Iowa Association of Mun. Utilities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12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2025 - 2026 Electric Member Dues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D9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$4,671.00 </w:t>
            </w:r>
          </w:p>
        </w:tc>
      </w:tr>
      <w:tr w:rsidR="008C6CCE" w:rsidRPr="008C6CCE" w14:paraId="2A247011" w14:textId="77777777" w:rsidTr="008C6CC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768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4C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24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Sales Tax for February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F81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$8,439.26 </w:t>
            </w:r>
          </w:p>
        </w:tc>
      </w:tr>
      <w:tr w:rsidR="008C6CCE" w:rsidRPr="008C6CCE" w14:paraId="38DFA800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F57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CC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819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HSA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DFF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8C6CCE" w:rsidRPr="008C6CCE" w14:paraId="79BE7574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D45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5E0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258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February 2025 wages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81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$4,327.09 </w:t>
            </w:r>
          </w:p>
        </w:tc>
      </w:tr>
      <w:tr w:rsidR="008C6CCE" w:rsidRPr="008C6CCE" w14:paraId="5F61E749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EC3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A97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Lawson Products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B3F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Plant maint., distribution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CE2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$304.07 </w:t>
            </w:r>
          </w:p>
        </w:tc>
      </w:tr>
      <w:tr w:rsidR="008C6CCE" w:rsidRPr="008C6CCE" w14:paraId="59FACAED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BBC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0F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0B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Publish Board minutes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7D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$113.99 </w:t>
            </w:r>
          </w:p>
        </w:tc>
      </w:tr>
      <w:tr w:rsidR="008C6CCE" w:rsidRPr="008C6CCE" w14:paraId="09CC6199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CC4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768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B04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CB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$112,926.64 </w:t>
            </w:r>
          </w:p>
        </w:tc>
      </w:tr>
      <w:tr w:rsidR="008C6CCE" w:rsidRPr="008C6CCE" w14:paraId="6636666C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5A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0A0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Nyhart Company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09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FYE 12/31/2024 Full GASB75 Report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9D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$2,900.00 </w:t>
            </w:r>
          </w:p>
        </w:tc>
      </w:tr>
      <w:tr w:rsidR="008C6CCE" w:rsidRPr="008C6CCE" w14:paraId="760F2DA5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3BB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65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65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A2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8C6CCE" w:rsidRPr="008C6CCE" w14:paraId="3707C5A2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12D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C4B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1E3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AC6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$1,893.29 </w:t>
            </w:r>
          </w:p>
        </w:tc>
      </w:tr>
      <w:tr w:rsidR="008C6CCE" w:rsidRPr="008C6CCE" w14:paraId="434559A3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A60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92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6E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HSA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C6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$673.08 </w:t>
            </w:r>
          </w:p>
        </w:tc>
      </w:tr>
      <w:tr w:rsidR="008C6CCE" w:rsidRPr="008C6CCE" w14:paraId="604195F0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AC7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A6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Sybesma Graphics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FFE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Decals - Digger Derrick truck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44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$150.00 </w:t>
            </w:r>
          </w:p>
        </w:tc>
      </w:tr>
      <w:tr w:rsidR="008C6CCE" w:rsidRPr="008C6CCE" w14:paraId="04D2725E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2A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72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T.P. Anderson &amp; Company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0E7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proofErr w:type="gramStart"/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Filing of</w:t>
            </w:r>
            <w:proofErr w:type="gramEnd"/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 annual report of local govt. finances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F5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$260.00 </w:t>
            </w:r>
          </w:p>
        </w:tc>
      </w:tr>
      <w:tr w:rsidR="008C6CCE" w:rsidRPr="008C6CCE" w14:paraId="12D10DE6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40B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C2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TextMyGov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85D" w14:textId="0DB9D9D3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Software management &amp; support 3/1/25 - 2/28/26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113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$2,200.00 </w:t>
            </w:r>
          </w:p>
        </w:tc>
      </w:tr>
      <w:tr w:rsidR="008C6CCE" w:rsidRPr="008C6CCE" w14:paraId="439150FF" w14:textId="77777777" w:rsidTr="008C6CCE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FCC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DE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F1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2A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$290.58 </w:t>
            </w:r>
          </w:p>
        </w:tc>
      </w:tr>
      <w:tr w:rsidR="008C6CCE" w:rsidRPr="008C6CCE" w14:paraId="7576018A" w14:textId="77777777" w:rsidTr="008C6CCE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2F8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000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2A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Meeting </w:t>
            </w:r>
            <w:proofErr w:type="gramStart"/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expense</w:t>
            </w:r>
            <w:proofErr w:type="gramEnd"/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, plant maint., transp. expense, uniform expense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26B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$1,507.82 </w:t>
            </w:r>
          </w:p>
        </w:tc>
      </w:tr>
      <w:tr w:rsidR="008C6CCE" w:rsidRPr="008C6CCE" w14:paraId="18176ECA" w14:textId="77777777" w:rsidTr="008C6CC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060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9D1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932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65E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$27,496.90 </w:t>
            </w:r>
          </w:p>
        </w:tc>
      </w:tr>
      <w:tr w:rsidR="008C6CCE" w:rsidRPr="008C6CCE" w14:paraId="76B05230" w14:textId="77777777" w:rsidTr="008C6CC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ED3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27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Wesco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A0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Inventory, distribution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16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$3,880.03 </w:t>
            </w:r>
          </w:p>
        </w:tc>
      </w:tr>
      <w:tr w:rsidR="008C6CCE" w:rsidRPr="008C6CCE" w14:paraId="2C602B36" w14:textId="77777777" w:rsidTr="008C6CC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E6C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7846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16E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75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$281,964.34 </w:t>
            </w:r>
          </w:p>
        </w:tc>
      </w:tr>
      <w:tr w:rsidR="008C6CCE" w:rsidRPr="008C6CCE" w14:paraId="2B7F346E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8B3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733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56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62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CCE" w:rsidRPr="008C6CCE" w14:paraId="5C4A4A7C" w14:textId="77777777" w:rsidTr="008C6CCE">
        <w:trPr>
          <w:trHeight w:val="29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26C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1FF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79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11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CCE" w:rsidRPr="008C6CCE" w14:paraId="7731EAD4" w14:textId="77777777" w:rsidTr="008C6CCE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614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69D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C2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Six refunds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C47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$1,441.50 </w:t>
            </w:r>
          </w:p>
        </w:tc>
      </w:tr>
      <w:tr w:rsidR="008C6CCE" w:rsidRPr="008C6CCE" w14:paraId="0E59D7D6" w14:textId="77777777" w:rsidTr="008C6CCE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C7A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05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AB0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AC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$1,441.50 </w:t>
            </w:r>
          </w:p>
        </w:tc>
      </w:tr>
      <w:tr w:rsidR="008C6CCE" w:rsidRPr="008C6CCE" w14:paraId="07968BAC" w14:textId="77777777" w:rsidTr="008C6CCE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ECA8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C08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AB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5E5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CCE" w:rsidRPr="008C6CCE" w14:paraId="75F666AD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0B5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075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B3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A3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CCE" w:rsidRPr="008C6CCE" w14:paraId="19E475C8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F49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BE9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05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Aflac - for Feb. 2025 payroll deductions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34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8C6CCE" w:rsidRPr="008C6CCE" w14:paraId="4C96D6F0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97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22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13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Dental ins. - for April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9E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$67.72 </w:t>
            </w:r>
          </w:p>
        </w:tc>
      </w:tr>
      <w:tr w:rsidR="008C6CCE" w:rsidRPr="008C6CCE" w14:paraId="304FC044" w14:textId="77777777" w:rsidTr="008C6CC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971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33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Ins.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091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Life/LTD/STD - for April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54A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$238.42 </w:t>
            </w:r>
          </w:p>
        </w:tc>
      </w:tr>
      <w:tr w:rsidR="008C6CCE" w:rsidRPr="008C6CCE" w14:paraId="6B882175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BC7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07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FB7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HSA contrib. for March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A20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8C6CCE" w:rsidRPr="008C6CCE" w14:paraId="28E60360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739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A1CD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F52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HSA contrib. for March 2025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D8F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8C6CCE" w:rsidRPr="008C6CCE" w14:paraId="5E77B0CD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19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473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490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>Health Ins. for April 2025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051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color w:val="auto"/>
                <w:szCs w:val="20"/>
              </w:rPr>
              <w:t xml:space="preserve">$3,688.84 </w:t>
            </w:r>
          </w:p>
        </w:tc>
      </w:tr>
      <w:tr w:rsidR="008C6CCE" w:rsidRPr="008C6CCE" w14:paraId="7E9E697F" w14:textId="77777777" w:rsidTr="008C6CCE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9A24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F9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6E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E7A5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$4,398.26 </w:t>
            </w:r>
          </w:p>
        </w:tc>
      </w:tr>
      <w:tr w:rsidR="008C6CCE" w:rsidRPr="008C6CCE" w14:paraId="244E5AE1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350F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71B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8C6CCE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BA9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F1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CCE" w:rsidRPr="008C6CCE" w14:paraId="26A9B108" w14:textId="77777777" w:rsidTr="008C6CC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406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BDE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0AC" w14:textId="77777777" w:rsidR="008C6CCE" w:rsidRPr="008C6CCE" w:rsidRDefault="008C6CCE" w:rsidP="008C6CC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4FA" w14:textId="77777777" w:rsidR="008C6CCE" w:rsidRPr="008C6CCE" w:rsidRDefault="008C6CCE" w:rsidP="008C6CC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8C6CCE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$287,804.10 </w:t>
            </w:r>
          </w:p>
        </w:tc>
      </w:tr>
    </w:tbl>
    <w:p w14:paraId="19C40D38" w14:textId="77777777" w:rsidR="00CB120E" w:rsidRDefault="00CB120E" w:rsidP="0010503A">
      <w:pPr>
        <w:ind w:left="0" w:right="28" w:firstLine="0"/>
      </w:pPr>
    </w:p>
    <w:p w14:paraId="2B67983D" w14:textId="77777777" w:rsidR="004B410C" w:rsidRDefault="004B410C" w:rsidP="0010503A">
      <w:pPr>
        <w:ind w:left="0" w:right="28" w:firstLine="0"/>
      </w:pPr>
    </w:p>
    <w:p w14:paraId="33AF2586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4F8BD3E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FE4EFB0" w14:textId="77777777" w:rsidR="001D7CDA" w:rsidRDefault="001D7C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30F9B1B" w14:textId="77777777" w:rsidR="008C6CCE" w:rsidRDefault="008C6CC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8F9D4BD" w14:textId="77777777" w:rsidR="008C6CCE" w:rsidRDefault="008C6CC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0E89D695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8C6CCE">
        <w:rPr>
          <w:b/>
          <w:bCs/>
          <w:noProof/>
          <w:u w:val="single"/>
        </w:rPr>
        <w:t>February 28</w:t>
      </w:r>
      <w:r w:rsidR="003B0726">
        <w:rPr>
          <w:b/>
          <w:bCs/>
          <w:noProof/>
          <w:u w:val="single"/>
        </w:rPr>
        <w:t>, 2025</w:t>
      </w:r>
      <w:r w:rsidRPr="00B82CEB">
        <w:rPr>
          <w:b/>
          <w:bCs/>
          <w:noProof/>
          <w:u w:val="single"/>
        </w:rPr>
        <w:t>:</w:t>
      </w:r>
    </w:p>
    <w:p w14:paraId="6AAFCEEF" w14:textId="187261E5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B03722">
        <w:t>2</w:t>
      </w:r>
      <w:r w:rsidR="008C6CCE">
        <w:t>47,088.33</w:t>
      </w:r>
    </w:p>
    <w:p w14:paraId="65E743C2" w14:textId="3A23B6AF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8C6CCE">
        <w:t>219,721.64</w:t>
      </w:r>
      <w:r w:rsidR="008C6CCE">
        <w:tab/>
      </w:r>
    </w:p>
    <w:p w14:paraId="03CC995E" w14:textId="77777777" w:rsidR="007A3DD8" w:rsidRDefault="007A3DD8" w:rsidP="00F67484">
      <w:pPr>
        <w:spacing w:after="26"/>
        <w:ind w:left="0" w:right="28" w:firstLine="0"/>
      </w:pPr>
    </w:p>
    <w:p w14:paraId="0DDDBC34" w14:textId="77777777" w:rsidR="008C6CCE" w:rsidRDefault="008C6CCE" w:rsidP="00F67484">
      <w:pPr>
        <w:spacing w:after="26"/>
        <w:ind w:left="0" w:right="28" w:firstLine="0"/>
      </w:pPr>
    </w:p>
    <w:p w14:paraId="14B747EA" w14:textId="4440F36B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8C6CCE">
        <w:t>Kuehl</w:t>
      </w:r>
      <w:r>
        <w:t xml:space="preserve"> seconded by</w:t>
      </w:r>
      <w:r w:rsidR="006F20E0">
        <w:t xml:space="preserve"> </w:t>
      </w:r>
      <w:r w:rsidR="008C6CCE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8C6CCE">
        <w:t>February</w:t>
      </w:r>
      <w:r w:rsidR="003B0726">
        <w:t xml:space="preserve"> 2025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DBD9C94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C51C8">
        <w:t>3</w:t>
      </w:r>
      <w:r w:rsidR="00A647B4">
        <w:t xml:space="preserve">-0. </w:t>
      </w:r>
      <w:r w:rsidR="00D24AC6">
        <w:t xml:space="preserve"> </w:t>
      </w:r>
    </w:p>
    <w:p w14:paraId="08EE6598" w14:textId="77777777" w:rsidR="00E72B16" w:rsidRDefault="00E72B16" w:rsidP="00E72B16">
      <w:pPr>
        <w:spacing w:after="26"/>
        <w:ind w:left="0" w:right="28" w:firstLine="0"/>
      </w:pPr>
    </w:p>
    <w:p w14:paraId="1379E1A8" w14:textId="3813BBA7" w:rsidR="00E72B16" w:rsidRDefault="00E72B16" w:rsidP="00E72B16">
      <w:pPr>
        <w:spacing w:after="26"/>
        <w:ind w:left="0" w:right="28" w:firstLine="0"/>
      </w:pPr>
      <w:r>
        <w:t xml:space="preserve">The General Manager discussed </w:t>
      </w:r>
      <w:r>
        <w:t xml:space="preserve">a </w:t>
      </w:r>
      <w:r>
        <w:t xml:space="preserve">possible donation request from </w:t>
      </w:r>
      <w:r>
        <w:t>Kids Express</w:t>
      </w:r>
      <w:r>
        <w:t xml:space="preserve"> Daycare for their new daycare project, and that the status of the generator project is still on hold due to EPA regulations on the size </w:t>
      </w:r>
      <w:r>
        <w:t xml:space="preserve">of </w:t>
      </w:r>
      <w:r>
        <w:t xml:space="preserve">generators </w:t>
      </w:r>
      <w:r>
        <w:t xml:space="preserve">which </w:t>
      </w:r>
      <w:r>
        <w:t xml:space="preserve">Sanborn needs.  </w:t>
      </w:r>
    </w:p>
    <w:p w14:paraId="3E4932F2" w14:textId="77777777" w:rsidR="000F48C3" w:rsidRDefault="000F48C3" w:rsidP="00272B8C">
      <w:pPr>
        <w:spacing w:after="28"/>
        <w:ind w:left="0" w:right="28" w:firstLine="0"/>
      </w:pPr>
    </w:p>
    <w:p w14:paraId="6004A2B3" w14:textId="1655B442" w:rsidR="00AF51B2" w:rsidRDefault="00AF51B2" w:rsidP="00AF51B2">
      <w:pPr>
        <w:spacing w:after="28"/>
        <w:ind w:left="0" w:right="28" w:firstLine="0"/>
      </w:pPr>
      <w:r>
        <w:t>There being no further business, motion Kuehl, seconded by Maranell to adjourn at 1:</w:t>
      </w:r>
      <w:r w:rsidR="008C6CCE">
        <w:t>0</w:t>
      </w:r>
      <w:r>
        <w:t>0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6C22DE82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8C6CCE">
        <w:rPr>
          <w:i/>
          <w:iCs/>
        </w:rPr>
        <w:t>April 30</w:t>
      </w:r>
      <w:r w:rsidR="00412D68">
        <w:rPr>
          <w:i/>
          <w:iCs/>
        </w:rPr>
        <w:t>, 2025,</w:t>
      </w:r>
      <w:r w:rsidR="001025BF">
        <w:rPr>
          <w:i/>
          <w:iCs/>
        </w:rPr>
        <w:t xml:space="preserve"> 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28EF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C67E1"/>
    <w:rsid w:val="000D5A08"/>
    <w:rsid w:val="000D60CF"/>
    <w:rsid w:val="000D6B00"/>
    <w:rsid w:val="000E3D15"/>
    <w:rsid w:val="000E672B"/>
    <w:rsid w:val="000E6F0E"/>
    <w:rsid w:val="000F48C3"/>
    <w:rsid w:val="000F72A5"/>
    <w:rsid w:val="001025BF"/>
    <w:rsid w:val="00103751"/>
    <w:rsid w:val="0010503A"/>
    <w:rsid w:val="0010525C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DE1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765"/>
    <w:rsid w:val="001D1D5A"/>
    <w:rsid w:val="001D37DA"/>
    <w:rsid w:val="001D3B0E"/>
    <w:rsid w:val="001D741A"/>
    <w:rsid w:val="001D7CD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12FC"/>
    <w:rsid w:val="002322EC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C7FBD"/>
    <w:rsid w:val="002D1F79"/>
    <w:rsid w:val="002D2E05"/>
    <w:rsid w:val="002D4261"/>
    <w:rsid w:val="002D53D6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33C6C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0726"/>
    <w:rsid w:val="003B170E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2D68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B410C"/>
    <w:rsid w:val="004C64E7"/>
    <w:rsid w:val="004D3A4B"/>
    <w:rsid w:val="004D6DA4"/>
    <w:rsid w:val="004D70FC"/>
    <w:rsid w:val="004D74FD"/>
    <w:rsid w:val="004E0CD1"/>
    <w:rsid w:val="004E120A"/>
    <w:rsid w:val="004E2384"/>
    <w:rsid w:val="004F1133"/>
    <w:rsid w:val="004F138C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3A72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473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E5AC6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26C89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748A6"/>
    <w:rsid w:val="006750D7"/>
    <w:rsid w:val="00680AD3"/>
    <w:rsid w:val="00681782"/>
    <w:rsid w:val="006844F6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6F3403"/>
    <w:rsid w:val="006F5C5B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77808"/>
    <w:rsid w:val="007857C1"/>
    <w:rsid w:val="0078661A"/>
    <w:rsid w:val="007905BD"/>
    <w:rsid w:val="007930B2"/>
    <w:rsid w:val="00795127"/>
    <w:rsid w:val="007971BC"/>
    <w:rsid w:val="007A2667"/>
    <w:rsid w:val="007A289D"/>
    <w:rsid w:val="007A3DD8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09DB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837"/>
    <w:rsid w:val="00865F1E"/>
    <w:rsid w:val="00867CCC"/>
    <w:rsid w:val="00870188"/>
    <w:rsid w:val="008729DA"/>
    <w:rsid w:val="00875482"/>
    <w:rsid w:val="008773FA"/>
    <w:rsid w:val="00880799"/>
    <w:rsid w:val="008822DA"/>
    <w:rsid w:val="0089110A"/>
    <w:rsid w:val="00893E3E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505"/>
    <w:rsid w:val="008C1753"/>
    <w:rsid w:val="008C5598"/>
    <w:rsid w:val="008C60B9"/>
    <w:rsid w:val="008C6CCE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5952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3331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04638"/>
    <w:rsid w:val="00A14471"/>
    <w:rsid w:val="00A14BCE"/>
    <w:rsid w:val="00A217F5"/>
    <w:rsid w:val="00A22590"/>
    <w:rsid w:val="00A2372F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1E27"/>
    <w:rsid w:val="00AD2696"/>
    <w:rsid w:val="00AD2FAB"/>
    <w:rsid w:val="00AD3CEE"/>
    <w:rsid w:val="00AD5309"/>
    <w:rsid w:val="00AD74C5"/>
    <w:rsid w:val="00AE42F0"/>
    <w:rsid w:val="00AE4EBE"/>
    <w:rsid w:val="00AE75A1"/>
    <w:rsid w:val="00AF4200"/>
    <w:rsid w:val="00AF4A0F"/>
    <w:rsid w:val="00AF51B2"/>
    <w:rsid w:val="00B0145A"/>
    <w:rsid w:val="00B03722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1B3E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5198"/>
    <w:rsid w:val="00B861AC"/>
    <w:rsid w:val="00B928BB"/>
    <w:rsid w:val="00BA1109"/>
    <w:rsid w:val="00BB0A44"/>
    <w:rsid w:val="00BB0D4C"/>
    <w:rsid w:val="00BB183D"/>
    <w:rsid w:val="00BC2151"/>
    <w:rsid w:val="00BC3267"/>
    <w:rsid w:val="00BC454B"/>
    <w:rsid w:val="00BC52F9"/>
    <w:rsid w:val="00BD7E7A"/>
    <w:rsid w:val="00BE1B02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25CBB"/>
    <w:rsid w:val="00C36A1B"/>
    <w:rsid w:val="00C377D4"/>
    <w:rsid w:val="00C37C8A"/>
    <w:rsid w:val="00C40834"/>
    <w:rsid w:val="00C41CD6"/>
    <w:rsid w:val="00C41FC0"/>
    <w:rsid w:val="00C433B6"/>
    <w:rsid w:val="00C44F80"/>
    <w:rsid w:val="00C46577"/>
    <w:rsid w:val="00C476BD"/>
    <w:rsid w:val="00C53E68"/>
    <w:rsid w:val="00C55928"/>
    <w:rsid w:val="00C57A3E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120E"/>
    <w:rsid w:val="00CB3B48"/>
    <w:rsid w:val="00CB60A5"/>
    <w:rsid w:val="00CC01D4"/>
    <w:rsid w:val="00CC4BA2"/>
    <w:rsid w:val="00CC51C8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4070"/>
    <w:rsid w:val="00D66786"/>
    <w:rsid w:val="00D81211"/>
    <w:rsid w:val="00D83291"/>
    <w:rsid w:val="00D83675"/>
    <w:rsid w:val="00D8385E"/>
    <w:rsid w:val="00D851DD"/>
    <w:rsid w:val="00D857B5"/>
    <w:rsid w:val="00D9294C"/>
    <w:rsid w:val="00D92CF6"/>
    <w:rsid w:val="00D95FCD"/>
    <w:rsid w:val="00DA00FA"/>
    <w:rsid w:val="00DA16E0"/>
    <w:rsid w:val="00DA17D2"/>
    <w:rsid w:val="00DB2EE3"/>
    <w:rsid w:val="00DB4B2D"/>
    <w:rsid w:val="00DB5355"/>
    <w:rsid w:val="00DC18B4"/>
    <w:rsid w:val="00DC1BDA"/>
    <w:rsid w:val="00DC222D"/>
    <w:rsid w:val="00DC2919"/>
    <w:rsid w:val="00DC36BD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687"/>
    <w:rsid w:val="00E2596E"/>
    <w:rsid w:val="00E26835"/>
    <w:rsid w:val="00E27AF5"/>
    <w:rsid w:val="00E356AB"/>
    <w:rsid w:val="00E35AB9"/>
    <w:rsid w:val="00E369BA"/>
    <w:rsid w:val="00E500A7"/>
    <w:rsid w:val="00E50F24"/>
    <w:rsid w:val="00E52E07"/>
    <w:rsid w:val="00E53AA0"/>
    <w:rsid w:val="00E5414D"/>
    <w:rsid w:val="00E568C1"/>
    <w:rsid w:val="00E6027E"/>
    <w:rsid w:val="00E63095"/>
    <w:rsid w:val="00E66881"/>
    <w:rsid w:val="00E72B16"/>
    <w:rsid w:val="00E73B6C"/>
    <w:rsid w:val="00E75106"/>
    <w:rsid w:val="00E85A90"/>
    <w:rsid w:val="00E92367"/>
    <w:rsid w:val="00E926E5"/>
    <w:rsid w:val="00E932FB"/>
    <w:rsid w:val="00E96113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D5F86"/>
    <w:rsid w:val="00EE6E8C"/>
    <w:rsid w:val="00EE7A5F"/>
    <w:rsid w:val="00EE7CFE"/>
    <w:rsid w:val="00EF031E"/>
    <w:rsid w:val="00EF18D1"/>
    <w:rsid w:val="00EF1DD0"/>
    <w:rsid w:val="00EF262A"/>
    <w:rsid w:val="00EF7674"/>
    <w:rsid w:val="00F02971"/>
    <w:rsid w:val="00F0681A"/>
    <w:rsid w:val="00F11939"/>
    <w:rsid w:val="00F16AC1"/>
    <w:rsid w:val="00F223A7"/>
    <w:rsid w:val="00F22699"/>
    <w:rsid w:val="00F23DD1"/>
    <w:rsid w:val="00F35B1C"/>
    <w:rsid w:val="00F35EC1"/>
    <w:rsid w:val="00F41976"/>
    <w:rsid w:val="00F5068C"/>
    <w:rsid w:val="00F5370B"/>
    <w:rsid w:val="00F53CAC"/>
    <w:rsid w:val="00F564E2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2</cp:revision>
  <cp:lastPrinted>2025-01-30T22:05:00Z</cp:lastPrinted>
  <dcterms:created xsi:type="dcterms:W3CDTF">2025-03-31T19:47:00Z</dcterms:created>
  <dcterms:modified xsi:type="dcterms:W3CDTF">2025-03-31T19:47:00Z</dcterms:modified>
</cp:coreProperties>
</file>