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B63E" w14:textId="21319A33" w:rsidR="00F9474D" w:rsidRDefault="004F1DF5">
      <w:pPr>
        <w:spacing w:after="0" w:line="259" w:lineRule="auto"/>
        <w:ind w:left="0" w:firstLine="0"/>
        <w:jc w:val="right"/>
      </w:pPr>
      <w:r>
        <w:t>April 30</w:t>
      </w:r>
      <w:r w:rsidR="00777808">
        <w:t>, 2025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40EE53A5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4F1DF5">
        <w:t>April 30</w:t>
      </w:r>
      <w:r w:rsidR="00777808">
        <w:t>, 2025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E52E07">
        <w:t xml:space="preserve">.  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47E86DE8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</w:t>
      </w:r>
      <w:proofErr w:type="gramStart"/>
      <w:r>
        <w:t>present</w:t>
      </w:r>
      <w:proofErr w:type="gramEnd"/>
      <w:r>
        <w:t>:</w:t>
      </w:r>
      <w:r w:rsidR="00734A14">
        <w:t xml:space="preserve"> </w:t>
      </w:r>
      <w:r w:rsidR="00DB2EE3">
        <w:t xml:space="preserve">Jeff Kuehl, </w:t>
      </w:r>
      <w:r w:rsidR="0058167C">
        <w:t>Rick Maranell</w:t>
      </w:r>
      <w:r w:rsidR="00DB2EE3">
        <w:t xml:space="preserve">, and </w:t>
      </w:r>
      <w:r w:rsidR="00B3541C">
        <w:t>Josh Rydberg</w:t>
      </w:r>
      <w:r w:rsidR="008E0916">
        <w:t xml:space="preserve">.  </w:t>
      </w:r>
    </w:p>
    <w:p w14:paraId="222227E0" w14:textId="7D4B8548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DB2EE3">
        <w:t>None</w:t>
      </w:r>
    </w:p>
    <w:p w14:paraId="01F1E967" w14:textId="457DA9F3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proofErr w:type="gramStart"/>
      <w:r w:rsidR="004864ED">
        <w:t>present</w:t>
      </w:r>
      <w:proofErr w:type="gramEnd"/>
      <w:r w:rsidR="004864ED">
        <w:t>:</w:t>
      </w:r>
      <w:r w:rsidR="008822DA">
        <w:t xml:space="preserve"> </w:t>
      </w:r>
      <w:r w:rsidR="0010525C">
        <w:t>Michelle Vos and Jim Zeutenhorst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DB4C5D3" w:rsidR="00F9474D" w:rsidRDefault="00366388">
      <w:pPr>
        <w:ind w:left="-5" w:right="28"/>
      </w:pPr>
      <w:r>
        <w:t>Motion</w:t>
      </w:r>
      <w:r w:rsidR="0042339E">
        <w:t xml:space="preserve"> </w:t>
      </w:r>
      <w:r w:rsidR="008C6CCE">
        <w:t>Kuehl</w:t>
      </w:r>
      <w:r w:rsidR="005B57B7">
        <w:t xml:space="preserve">, seconded by </w:t>
      </w:r>
      <w:proofErr w:type="gramStart"/>
      <w:r w:rsidR="008C6CCE">
        <w:t>Maranell</w:t>
      </w:r>
      <w:proofErr w:type="gramEnd"/>
      <w:r w:rsidR="00431662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DB2EE3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0BA05E9F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8C6CCE">
        <w:t>Maranell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8C6CCE">
        <w:t>Kuehl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4F1DF5">
        <w:t>March 26</w:t>
      </w:r>
      <w:r w:rsidR="00777808">
        <w:t>,</w:t>
      </w:r>
      <w:r w:rsidR="003B170E">
        <w:t xml:space="preserve"> 202</w:t>
      </w:r>
      <w:r w:rsidR="005A1473">
        <w:t>5</w:t>
      </w:r>
      <w:r w:rsidR="00AA08A3">
        <w:t xml:space="preserve">, </w:t>
      </w:r>
    </w:p>
    <w:p w14:paraId="46656568" w14:textId="3631D5E6" w:rsidR="00AA08A3" w:rsidRDefault="00AA08A3" w:rsidP="0010503A">
      <w:pPr>
        <w:ind w:left="0" w:right="28" w:firstLine="0"/>
      </w:pPr>
      <w:r>
        <w:t xml:space="preserve">Board Meeting.  Motion carried </w:t>
      </w:r>
      <w:r w:rsidR="00DB2EE3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E5DEFA3" w:rsidR="00C81ACE" w:rsidRDefault="00AA08A3" w:rsidP="0010503A">
      <w:pPr>
        <w:ind w:left="0" w:right="28" w:firstLine="0"/>
      </w:pPr>
      <w:r>
        <w:t xml:space="preserve">Motion </w:t>
      </w:r>
      <w:r w:rsidR="008C6CCE">
        <w:t>Kuehl</w:t>
      </w:r>
      <w:r w:rsidR="0010525C">
        <w:t xml:space="preserve">, </w:t>
      </w:r>
      <w:r>
        <w:t>seconded by</w:t>
      </w:r>
      <w:r w:rsidR="00D43396">
        <w:t xml:space="preserve"> </w:t>
      </w:r>
      <w:r w:rsidR="008C6CCE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6705776D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DB2EE3">
        <w:t>3</w:t>
      </w:r>
      <w:r w:rsidR="0010525C">
        <w:t>-0</w:t>
      </w:r>
      <w:r>
        <w:t>.</w:t>
      </w:r>
    </w:p>
    <w:p w14:paraId="0EE0A4B2" w14:textId="77777777" w:rsidR="00CC51C8" w:rsidRDefault="00CC51C8" w:rsidP="0010503A">
      <w:pPr>
        <w:ind w:left="0" w:right="28" w:firstLine="0"/>
      </w:pPr>
    </w:p>
    <w:tbl>
      <w:tblPr>
        <w:tblW w:w="10614" w:type="dxa"/>
        <w:tblInd w:w="-764" w:type="dxa"/>
        <w:tblLook w:val="04A0" w:firstRow="1" w:lastRow="0" w:firstColumn="1" w:lastColumn="0" w:noHBand="0" w:noVBand="1"/>
      </w:tblPr>
      <w:tblGrid>
        <w:gridCol w:w="326"/>
        <w:gridCol w:w="3370"/>
        <w:gridCol w:w="5388"/>
        <w:gridCol w:w="1530"/>
      </w:tblGrid>
      <w:tr w:rsidR="004F1DF5" w:rsidRPr="004F1DF5" w14:paraId="5E005B96" w14:textId="77777777" w:rsidTr="004F1DF5">
        <w:trPr>
          <w:trHeight w:val="418"/>
        </w:trPr>
        <w:tc>
          <w:tcPr>
            <w:tcW w:w="10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49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3"/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4F1DF5" w:rsidRPr="004F1DF5" w14:paraId="2E8F6684" w14:textId="77777777" w:rsidTr="004F1DF5">
        <w:trPr>
          <w:trHeight w:val="274"/>
        </w:trPr>
        <w:tc>
          <w:tcPr>
            <w:tcW w:w="10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C6755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April 30, 2025</w:t>
            </w:r>
          </w:p>
        </w:tc>
      </w:tr>
      <w:tr w:rsidR="004F1DF5" w:rsidRPr="004F1DF5" w14:paraId="4884F09E" w14:textId="77777777" w:rsidTr="004F1DF5">
        <w:trPr>
          <w:trHeight w:val="29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915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4E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2A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03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3AC44126" w14:textId="77777777" w:rsidTr="004F1DF5">
        <w:trPr>
          <w:trHeight w:val="23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C0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43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92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796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4F1DF5" w:rsidRPr="004F1DF5" w14:paraId="63CD0D84" w14:textId="77777777" w:rsidTr="004F1DF5">
        <w:trPr>
          <w:trHeight w:val="3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309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C5E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1FD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4F1DF5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Plant maint.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245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$48.96 </w:t>
            </w:r>
          </w:p>
        </w:tc>
      </w:tr>
      <w:tr w:rsidR="004F1DF5" w:rsidRPr="004F1DF5" w14:paraId="3721CFA3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75D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0B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7C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City Hall bills split for March 2025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2C3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$5,996.73 </w:t>
            </w:r>
          </w:p>
        </w:tc>
      </w:tr>
      <w:tr w:rsidR="004F1DF5" w:rsidRPr="004F1DF5" w14:paraId="277B896C" w14:textId="77777777" w:rsidTr="004F1DF5">
        <w:trPr>
          <w:trHeight w:val="3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702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DD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E4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31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$6,750.68 </w:t>
            </w:r>
          </w:p>
        </w:tc>
      </w:tr>
      <w:tr w:rsidR="004F1DF5" w:rsidRPr="004F1DF5" w14:paraId="2D42A621" w14:textId="77777777" w:rsidTr="004F1DF5">
        <w:trPr>
          <w:trHeight w:val="3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BC6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F1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Association of Mun. Utilities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C29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Electric Apprenticeship Annual Tech Fee (N. Schirmer)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2A1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4F1DF5" w:rsidRPr="004F1DF5" w14:paraId="370366E8" w14:textId="77777777" w:rsidTr="004F1DF5">
        <w:trPr>
          <w:trHeight w:val="3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02B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38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22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Sales Tax for March 2025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E0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$7,100.28 </w:t>
            </w:r>
          </w:p>
        </w:tc>
      </w:tr>
      <w:tr w:rsidR="004F1DF5" w:rsidRPr="004F1DF5" w14:paraId="2186289D" w14:textId="77777777" w:rsidTr="004F1DF5">
        <w:trPr>
          <w:trHeight w:val="3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AF7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D1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314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Withholding Tax - 1st quarter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E95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$2,465.76 </w:t>
            </w:r>
          </w:p>
        </w:tc>
      </w:tr>
      <w:tr w:rsidR="004F1DF5" w:rsidRPr="004F1DF5" w14:paraId="2BAFB93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D47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E3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27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90D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4F1DF5" w:rsidRPr="004F1DF5" w14:paraId="7F1CA01B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5E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BF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69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March 2025 wages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07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$4,241.52 </w:t>
            </w:r>
          </w:p>
        </w:tc>
      </w:tr>
      <w:tr w:rsidR="004F1DF5" w:rsidRPr="004F1DF5" w14:paraId="2D65A02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1FF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5B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Lawson Products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9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2C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$193.19 </w:t>
            </w:r>
          </w:p>
        </w:tc>
      </w:tr>
      <w:tr w:rsidR="004F1DF5" w:rsidRPr="004F1DF5" w14:paraId="280FCD32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829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17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65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Publish Board minutes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EB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$96.60 </w:t>
            </w:r>
          </w:p>
        </w:tc>
      </w:tr>
      <w:tr w:rsidR="004F1DF5" w:rsidRPr="004F1DF5" w14:paraId="36B3A3E7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D00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86B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031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17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$84,855.52 </w:t>
            </w:r>
          </w:p>
        </w:tc>
      </w:tr>
      <w:tr w:rsidR="004F1DF5" w:rsidRPr="004F1DF5" w14:paraId="4225F12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B74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B6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Prins Insurance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24B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Endorsement - add coverage 2017 Digger Derrick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EC8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$76.00 </w:t>
            </w:r>
          </w:p>
        </w:tc>
      </w:tr>
      <w:tr w:rsidR="004F1DF5" w:rsidRPr="004F1DF5" w14:paraId="7F8AA756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01F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AC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Prins Insurance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628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Business renewal - 4/1/2025 - 3/31/2026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B18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$33,868.15 </w:t>
            </w:r>
          </w:p>
        </w:tc>
      </w:tr>
      <w:tr w:rsidR="004F1DF5" w:rsidRPr="004F1DF5" w14:paraId="278F21B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94E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20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0D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Donation/economic development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F2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4F1DF5" w:rsidRPr="004F1DF5" w14:paraId="3ECB292C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DD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19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Sanborn Foods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24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9A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$27.71 </w:t>
            </w:r>
          </w:p>
        </w:tc>
      </w:tr>
      <w:tr w:rsidR="004F1DF5" w:rsidRPr="004F1DF5" w14:paraId="75DBEDE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605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BDE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7A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F7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$1,109.50 </w:t>
            </w:r>
          </w:p>
        </w:tc>
      </w:tr>
      <w:tr w:rsidR="004F1DF5" w:rsidRPr="004F1DF5" w14:paraId="39CB5565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5B5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B08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2E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29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$673.08 </w:t>
            </w:r>
          </w:p>
        </w:tc>
      </w:tr>
      <w:tr w:rsidR="004F1DF5" w:rsidRPr="004F1DF5" w14:paraId="6EF59708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C70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2E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D7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D26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$289.88 </w:t>
            </w:r>
          </w:p>
        </w:tc>
      </w:tr>
      <w:tr w:rsidR="004F1DF5" w:rsidRPr="004F1DF5" w14:paraId="1C42DCAE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FC6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87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8E8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Meeting </w:t>
            </w:r>
            <w:proofErr w:type="gramStart"/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expense</w:t>
            </w:r>
            <w:proofErr w:type="gramEnd"/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, distribution maint.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DC3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$6,810.61 </w:t>
            </w:r>
          </w:p>
        </w:tc>
      </w:tr>
      <w:tr w:rsidR="004F1DF5" w:rsidRPr="004F1DF5" w14:paraId="68691DD1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BE6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476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00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8B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$26,074.10 </w:t>
            </w:r>
          </w:p>
        </w:tc>
      </w:tr>
      <w:tr w:rsidR="004F1DF5" w:rsidRPr="004F1DF5" w14:paraId="36DB6EEF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D13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3B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5D3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Inventory, distribution maint.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F07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$37,871.26 </w:t>
            </w:r>
          </w:p>
        </w:tc>
      </w:tr>
      <w:tr w:rsidR="004F1DF5" w:rsidRPr="004F1DF5" w14:paraId="03E1C352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A5E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26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Ziegler, Inc.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8B3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Vehicle </w:t>
            </w:r>
            <w:proofErr w:type="gramStart"/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maint</w:t>
            </w:r>
            <w:proofErr w:type="gramEnd"/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1D1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$25.56 </w:t>
            </w:r>
          </w:p>
        </w:tc>
      </w:tr>
      <w:tr w:rsidR="004F1DF5" w:rsidRPr="004F1DF5" w14:paraId="7088A0F6" w14:textId="77777777" w:rsidTr="004F1DF5">
        <w:trPr>
          <w:trHeight w:val="32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D5D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3A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19F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52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$219,300.09 </w:t>
            </w:r>
          </w:p>
        </w:tc>
      </w:tr>
      <w:tr w:rsidR="004F1DF5" w:rsidRPr="004F1DF5" w14:paraId="58AA2FCE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E4F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63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23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E6F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3A9E3F23" w14:textId="77777777" w:rsidTr="004F1DF5">
        <w:trPr>
          <w:trHeight w:val="29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DF0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1C2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88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24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5241529F" w14:textId="77777777" w:rsidTr="004F1DF5">
        <w:trPr>
          <w:trHeight w:val="29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E0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2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3F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4F1DF5">
              <w:rPr>
                <w:rFonts w:ascii="Calibri" w:eastAsia="Times New Roman" w:hAnsi="Calibri" w:cs="Calibri"/>
                <w:color w:val="auto"/>
                <w:sz w:val="22"/>
              </w:rPr>
              <w:t>Budget Billing refunds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8BC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6C3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$15,149.46 </w:t>
            </w:r>
          </w:p>
        </w:tc>
      </w:tr>
      <w:tr w:rsidR="004F1DF5" w:rsidRPr="004F1DF5" w14:paraId="41BC97EA" w14:textId="77777777" w:rsidTr="004F1DF5">
        <w:trPr>
          <w:trHeight w:val="3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30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C88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EB7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Six refunds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5C53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$1,675.00 </w:t>
            </w:r>
          </w:p>
        </w:tc>
      </w:tr>
      <w:tr w:rsidR="004F1DF5" w:rsidRPr="004F1DF5" w14:paraId="0B7971E0" w14:textId="77777777" w:rsidTr="004F1DF5">
        <w:trPr>
          <w:trHeight w:val="28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54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0CD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4EB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A9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$16,824.46 </w:t>
            </w:r>
          </w:p>
        </w:tc>
      </w:tr>
      <w:tr w:rsidR="004F1DF5" w:rsidRPr="004F1DF5" w14:paraId="6F955191" w14:textId="77777777" w:rsidTr="004F1DF5">
        <w:trPr>
          <w:trHeight w:val="28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51A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A4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55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44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3A40A6E6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0B1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625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036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70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3D3F94C8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979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4D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3F8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Aflac - for March 2025 payroll deductions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B7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4F1DF5" w:rsidRPr="004F1DF5" w14:paraId="556F0FA0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833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990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2BA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Dental ins. - for May 2025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FF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$67.72 </w:t>
            </w:r>
          </w:p>
        </w:tc>
      </w:tr>
      <w:tr w:rsidR="004F1DF5" w:rsidRPr="004F1DF5" w14:paraId="3205356A" w14:textId="77777777" w:rsidTr="004F1DF5">
        <w:trPr>
          <w:trHeight w:val="311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417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CD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DC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Life/LTD/STD - for May 2025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79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$208.48 </w:t>
            </w:r>
          </w:p>
        </w:tc>
      </w:tr>
      <w:tr w:rsidR="004F1DF5" w:rsidRPr="004F1DF5" w14:paraId="04EE5495" w14:textId="77777777" w:rsidTr="004F1DF5">
        <w:trPr>
          <w:trHeight w:val="3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F78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B1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94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HSA contrib. for March 2025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68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4F1DF5" w:rsidRPr="004F1DF5" w14:paraId="2707940D" w14:textId="77777777" w:rsidTr="004F1DF5">
        <w:trPr>
          <w:trHeight w:val="3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9B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9E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CB4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HSA contrib. for March 2025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D2B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4F1DF5" w:rsidRPr="004F1DF5" w14:paraId="6AEEA1BC" w14:textId="77777777" w:rsidTr="004F1DF5">
        <w:trPr>
          <w:trHeight w:val="3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90DC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3577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57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>Health Ins. for May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CF39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color w:val="auto"/>
                <w:szCs w:val="20"/>
              </w:rPr>
              <w:t xml:space="preserve">$5,480.28 </w:t>
            </w:r>
          </w:p>
        </w:tc>
      </w:tr>
      <w:tr w:rsidR="004F1DF5" w:rsidRPr="004F1DF5" w14:paraId="1D9D3D4C" w14:textId="77777777" w:rsidTr="004F1DF5">
        <w:trPr>
          <w:trHeight w:val="28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95F1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713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CA8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9F6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$6,159.76 </w:t>
            </w:r>
          </w:p>
        </w:tc>
      </w:tr>
      <w:tr w:rsidR="004F1DF5" w:rsidRPr="004F1DF5" w14:paraId="457A6BB0" w14:textId="77777777" w:rsidTr="004F1DF5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58A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33E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4F1DF5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C84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6E8A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F1DF5" w:rsidRPr="004F1DF5" w14:paraId="7B0BAB59" w14:textId="77777777" w:rsidTr="004F1DF5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2AB0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D0F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7FD" w14:textId="77777777" w:rsidR="004F1DF5" w:rsidRPr="004F1DF5" w:rsidRDefault="004F1DF5" w:rsidP="004F1DF5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FF2" w14:textId="77777777" w:rsidR="004F1DF5" w:rsidRPr="004F1DF5" w:rsidRDefault="004F1DF5" w:rsidP="004F1DF5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F1DF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$242,284.31 </w:t>
            </w:r>
          </w:p>
        </w:tc>
      </w:tr>
    </w:tbl>
    <w:p w14:paraId="19C40D38" w14:textId="77777777" w:rsidR="00CB120E" w:rsidRDefault="00CB120E" w:rsidP="0010503A">
      <w:pPr>
        <w:ind w:left="0" w:right="28" w:firstLine="0"/>
      </w:pPr>
    </w:p>
    <w:p w14:paraId="2B67983D" w14:textId="77777777" w:rsidR="004B410C" w:rsidRDefault="004B410C" w:rsidP="0010503A">
      <w:pPr>
        <w:ind w:left="0" w:right="28" w:firstLine="0"/>
      </w:pPr>
    </w:p>
    <w:p w14:paraId="33AF2586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4F8BD3E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FE4EFB0" w14:textId="77777777" w:rsidR="001D7CDA" w:rsidRDefault="001D7C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30F9B1B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8F9D4BD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67943660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4F1DF5">
        <w:rPr>
          <w:b/>
          <w:bCs/>
          <w:noProof/>
          <w:u w:val="single"/>
        </w:rPr>
        <w:t>March 31</w:t>
      </w:r>
      <w:r w:rsidR="003B0726">
        <w:rPr>
          <w:b/>
          <w:bCs/>
          <w:noProof/>
          <w:u w:val="single"/>
        </w:rPr>
        <w:t>, 2025</w:t>
      </w:r>
      <w:r w:rsidRPr="00B82CEB">
        <w:rPr>
          <w:b/>
          <w:bCs/>
          <w:noProof/>
          <w:u w:val="single"/>
        </w:rPr>
        <w:t>:</w:t>
      </w:r>
    </w:p>
    <w:p w14:paraId="6AAFCEEF" w14:textId="7795312D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4F1DF5">
        <w:t>217,555.55</w:t>
      </w:r>
    </w:p>
    <w:p w14:paraId="65E743C2" w14:textId="50A0B22A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4F1DF5">
        <w:t>188,086.70</w:t>
      </w:r>
      <w:r w:rsidR="008C6CCE">
        <w:tab/>
      </w:r>
    </w:p>
    <w:p w14:paraId="03CC995E" w14:textId="77777777" w:rsidR="007A3DD8" w:rsidRDefault="007A3DD8" w:rsidP="00F67484">
      <w:pPr>
        <w:spacing w:after="26"/>
        <w:ind w:left="0" w:right="28" w:firstLine="0"/>
      </w:pPr>
    </w:p>
    <w:p w14:paraId="0DDDBC34" w14:textId="77777777" w:rsidR="008C6CCE" w:rsidRDefault="008C6CCE" w:rsidP="00F67484">
      <w:pPr>
        <w:spacing w:after="26"/>
        <w:ind w:left="0" w:right="28" w:firstLine="0"/>
      </w:pPr>
    </w:p>
    <w:p w14:paraId="14B747EA" w14:textId="0CA51391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8C6CCE">
        <w:t>Kuehl</w:t>
      </w:r>
      <w:r>
        <w:t xml:space="preserve"> seconded by</w:t>
      </w:r>
      <w:r w:rsidR="006F20E0">
        <w:t xml:space="preserve"> </w:t>
      </w:r>
      <w:r w:rsidR="008C6CCE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4F1DF5">
        <w:t>March</w:t>
      </w:r>
      <w:r w:rsidR="003B0726">
        <w:t xml:space="preserve"> 2025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DBD9C94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C51C8">
        <w:t>3</w:t>
      </w:r>
      <w:r w:rsidR="00A647B4">
        <w:t xml:space="preserve">-0. </w:t>
      </w:r>
      <w:r w:rsidR="00D24AC6">
        <w:t xml:space="preserve"> </w:t>
      </w:r>
    </w:p>
    <w:p w14:paraId="08EE6598" w14:textId="77777777" w:rsidR="00E72B16" w:rsidRDefault="00E72B16" w:rsidP="00E72B16">
      <w:pPr>
        <w:spacing w:after="26"/>
        <w:ind w:left="0" w:right="28" w:firstLine="0"/>
      </w:pPr>
    </w:p>
    <w:p w14:paraId="41B1ACF1" w14:textId="054131E8" w:rsidR="004F1DF5" w:rsidRDefault="004F1DF5" w:rsidP="00E72B16">
      <w:pPr>
        <w:spacing w:after="26"/>
        <w:ind w:left="0" w:right="28" w:firstLine="0"/>
      </w:pPr>
      <w:r>
        <w:t xml:space="preserve">Nick Smith, Electric Line Superintendent, was present to update the Board on various projects throughout Sanborn.  Items </w:t>
      </w:r>
      <w:r w:rsidR="00DD07E5">
        <w:t>discussed</w:t>
      </w:r>
      <w:r>
        <w:t xml:space="preserve"> included the AMPI expansion </w:t>
      </w:r>
      <w:r w:rsidR="00DD07E5">
        <w:t xml:space="preserve">for their Pretreatment Facility </w:t>
      </w:r>
      <w:r>
        <w:t xml:space="preserve">– the transformer is ready to </w:t>
      </w:r>
      <w:r w:rsidR="00DD07E5">
        <w:t>install,</w:t>
      </w:r>
      <w:r>
        <w:t xml:space="preserve"> and </w:t>
      </w:r>
      <w:r w:rsidR="00DD07E5">
        <w:t xml:space="preserve">they are </w:t>
      </w:r>
      <w:r>
        <w:t xml:space="preserve">bringing innerduct to the property line.  They will be finishing the primary installation at Maris Estates for additional homes which are scheduled to begin construction.  </w:t>
      </w:r>
      <w:r w:rsidR="00842A5D">
        <w:t xml:space="preserve">Additional areas of town need underground electric repairs, tree trimming around power lines, and possible updating to </w:t>
      </w:r>
      <w:proofErr w:type="gramStart"/>
      <w:r w:rsidR="00842A5D">
        <w:t>three-phase</w:t>
      </w:r>
      <w:proofErr w:type="gramEnd"/>
      <w:r w:rsidR="00842A5D">
        <w:t xml:space="preserve"> for Cornerstone Church.</w:t>
      </w:r>
    </w:p>
    <w:p w14:paraId="5647C6C6" w14:textId="77777777" w:rsidR="004F1DF5" w:rsidRDefault="004F1DF5" w:rsidP="00E72B16">
      <w:pPr>
        <w:spacing w:after="26"/>
        <w:ind w:left="0" w:right="28" w:firstLine="0"/>
      </w:pPr>
    </w:p>
    <w:p w14:paraId="6004A2B3" w14:textId="1B1511B4" w:rsidR="00AF51B2" w:rsidRDefault="00AF51B2" w:rsidP="00AF51B2">
      <w:pPr>
        <w:spacing w:after="28"/>
        <w:ind w:left="0" w:right="28" w:firstLine="0"/>
      </w:pPr>
      <w:r>
        <w:t xml:space="preserve">There being no further business, motion Kuehl, seconded by </w:t>
      </w:r>
      <w:r w:rsidR="00842A5D">
        <w:t>Rydberg</w:t>
      </w:r>
      <w:r>
        <w:t xml:space="preserve"> to adjourn at 1:</w:t>
      </w:r>
      <w:r w:rsidR="00842A5D">
        <w:t>25</w:t>
      </w:r>
      <w:r>
        <w:t xml:space="preserve">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7D93BC6A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842A5D">
        <w:rPr>
          <w:i/>
          <w:iCs/>
        </w:rPr>
        <w:t>May 28</w:t>
      </w:r>
      <w:r w:rsidR="00412D68">
        <w:rPr>
          <w:i/>
          <w:iCs/>
        </w:rPr>
        <w:t>, 2025,</w:t>
      </w:r>
      <w:r w:rsidR="001025BF">
        <w:rPr>
          <w:i/>
          <w:iCs/>
        </w:rPr>
        <w:t xml:space="preserve">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28EF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C67E1"/>
    <w:rsid w:val="000D5A08"/>
    <w:rsid w:val="000D60CF"/>
    <w:rsid w:val="000D6B00"/>
    <w:rsid w:val="000E3D15"/>
    <w:rsid w:val="000E672B"/>
    <w:rsid w:val="000E6F0E"/>
    <w:rsid w:val="000F48C3"/>
    <w:rsid w:val="000F72A5"/>
    <w:rsid w:val="001025BF"/>
    <w:rsid w:val="00103751"/>
    <w:rsid w:val="0010503A"/>
    <w:rsid w:val="0010525C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765"/>
    <w:rsid w:val="001D1D5A"/>
    <w:rsid w:val="001D37DA"/>
    <w:rsid w:val="001D3B0E"/>
    <w:rsid w:val="001D741A"/>
    <w:rsid w:val="001D7CD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12FC"/>
    <w:rsid w:val="002322EC"/>
    <w:rsid w:val="00236451"/>
    <w:rsid w:val="00240429"/>
    <w:rsid w:val="002421B7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0726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2D68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B410C"/>
    <w:rsid w:val="004C64E7"/>
    <w:rsid w:val="004D3A4B"/>
    <w:rsid w:val="004D6DA4"/>
    <w:rsid w:val="004D70FC"/>
    <w:rsid w:val="004D74FD"/>
    <w:rsid w:val="004E0CD1"/>
    <w:rsid w:val="004E120A"/>
    <w:rsid w:val="004E2384"/>
    <w:rsid w:val="004F1133"/>
    <w:rsid w:val="004F138C"/>
    <w:rsid w:val="004F1DF5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3A72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473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E5AC6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26C89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748A6"/>
    <w:rsid w:val="006750D7"/>
    <w:rsid w:val="00680AD3"/>
    <w:rsid w:val="00681782"/>
    <w:rsid w:val="006844F6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6F3403"/>
    <w:rsid w:val="006F5C5B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77808"/>
    <w:rsid w:val="007857C1"/>
    <w:rsid w:val="0078661A"/>
    <w:rsid w:val="007905BD"/>
    <w:rsid w:val="007930B2"/>
    <w:rsid w:val="00795127"/>
    <w:rsid w:val="007971BC"/>
    <w:rsid w:val="007A2667"/>
    <w:rsid w:val="007A289D"/>
    <w:rsid w:val="007A3DD8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09DB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2A5D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110A"/>
    <w:rsid w:val="00893E3E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505"/>
    <w:rsid w:val="008C1753"/>
    <w:rsid w:val="008C5598"/>
    <w:rsid w:val="008C60B9"/>
    <w:rsid w:val="008C6CCE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B63D8"/>
    <w:rsid w:val="009C19F7"/>
    <w:rsid w:val="009C1A9B"/>
    <w:rsid w:val="009C2845"/>
    <w:rsid w:val="009C3239"/>
    <w:rsid w:val="009C3331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04638"/>
    <w:rsid w:val="00A14471"/>
    <w:rsid w:val="00A14BCE"/>
    <w:rsid w:val="00A217F5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1E27"/>
    <w:rsid w:val="00AD2696"/>
    <w:rsid w:val="00AD2FAB"/>
    <w:rsid w:val="00AD3CEE"/>
    <w:rsid w:val="00AD5309"/>
    <w:rsid w:val="00AD74C5"/>
    <w:rsid w:val="00AE42F0"/>
    <w:rsid w:val="00AE4EBE"/>
    <w:rsid w:val="00AE75A1"/>
    <w:rsid w:val="00AF4200"/>
    <w:rsid w:val="00AF4A0F"/>
    <w:rsid w:val="00AF51B2"/>
    <w:rsid w:val="00B0145A"/>
    <w:rsid w:val="00B03722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5198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D12DA"/>
    <w:rsid w:val="00BD7E7A"/>
    <w:rsid w:val="00BE1B02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25CBB"/>
    <w:rsid w:val="00C360DE"/>
    <w:rsid w:val="00C36A1B"/>
    <w:rsid w:val="00C377D4"/>
    <w:rsid w:val="00C37C8A"/>
    <w:rsid w:val="00C40834"/>
    <w:rsid w:val="00C41CD6"/>
    <w:rsid w:val="00C41FC0"/>
    <w:rsid w:val="00C433B6"/>
    <w:rsid w:val="00C44F80"/>
    <w:rsid w:val="00C46577"/>
    <w:rsid w:val="00C476BD"/>
    <w:rsid w:val="00C53E68"/>
    <w:rsid w:val="00C55928"/>
    <w:rsid w:val="00C57A3E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120E"/>
    <w:rsid w:val="00CB3B48"/>
    <w:rsid w:val="00CB60A5"/>
    <w:rsid w:val="00CC01D4"/>
    <w:rsid w:val="00CC4BA2"/>
    <w:rsid w:val="00CC51C8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4070"/>
    <w:rsid w:val="00D66786"/>
    <w:rsid w:val="00D81211"/>
    <w:rsid w:val="00D83291"/>
    <w:rsid w:val="00D83675"/>
    <w:rsid w:val="00D8385E"/>
    <w:rsid w:val="00D851DD"/>
    <w:rsid w:val="00D857B5"/>
    <w:rsid w:val="00D9294C"/>
    <w:rsid w:val="00D92CF6"/>
    <w:rsid w:val="00D95FCD"/>
    <w:rsid w:val="00DA00FA"/>
    <w:rsid w:val="00DA16E0"/>
    <w:rsid w:val="00DA17D2"/>
    <w:rsid w:val="00DB2EE3"/>
    <w:rsid w:val="00DB4B2D"/>
    <w:rsid w:val="00DB5355"/>
    <w:rsid w:val="00DC18B4"/>
    <w:rsid w:val="00DC1BDA"/>
    <w:rsid w:val="00DC222D"/>
    <w:rsid w:val="00DC2919"/>
    <w:rsid w:val="00DC36BD"/>
    <w:rsid w:val="00DD07E5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687"/>
    <w:rsid w:val="00E2596E"/>
    <w:rsid w:val="00E26835"/>
    <w:rsid w:val="00E27AF5"/>
    <w:rsid w:val="00E356AB"/>
    <w:rsid w:val="00E35AB9"/>
    <w:rsid w:val="00E369BA"/>
    <w:rsid w:val="00E500A7"/>
    <w:rsid w:val="00E50F24"/>
    <w:rsid w:val="00E52E07"/>
    <w:rsid w:val="00E53AA0"/>
    <w:rsid w:val="00E5414D"/>
    <w:rsid w:val="00E568C1"/>
    <w:rsid w:val="00E6027E"/>
    <w:rsid w:val="00E63095"/>
    <w:rsid w:val="00E66881"/>
    <w:rsid w:val="00E72B16"/>
    <w:rsid w:val="00E73B6C"/>
    <w:rsid w:val="00E75106"/>
    <w:rsid w:val="00E85A90"/>
    <w:rsid w:val="00E92367"/>
    <w:rsid w:val="00E926E5"/>
    <w:rsid w:val="00E932FB"/>
    <w:rsid w:val="00E96113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D5F86"/>
    <w:rsid w:val="00EE6E8C"/>
    <w:rsid w:val="00EE7A5F"/>
    <w:rsid w:val="00EE7CFE"/>
    <w:rsid w:val="00EF031E"/>
    <w:rsid w:val="00EF18D1"/>
    <w:rsid w:val="00EF1DD0"/>
    <w:rsid w:val="00EF262A"/>
    <w:rsid w:val="00EF7674"/>
    <w:rsid w:val="00F02971"/>
    <w:rsid w:val="00F0681A"/>
    <w:rsid w:val="00F11939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64E2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2</cp:revision>
  <cp:lastPrinted>2025-05-09T21:58:00Z</cp:lastPrinted>
  <dcterms:created xsi:type="dcterms:W3CDTF">2025-05-09T21:59:00Z</dcterms:created>
  <dcterms:modified xsi:type="dcterms:W3CDTF">2025-05-09T21:59:00Z</dcterms:modified>
</cp:coreProperties>
</file>